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אירית קלמן ברום</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2B223E" w:rsidRDefault="00A17C77" w:rsidP="00A17C77">
                <w:pPr>
                  <w:rPr>
                    <w:rFonts w:ascii="Arial" w:hAnsi="Arial"/>
                    <w:b/>
                    <w:bCs/>
                    <w:noProof w:val="0"/>
                    <w:sz w:val="26"/>
                    <w:szCs w:val="26"/>
                    <w:rtl/>
                  </w:rPr>
                </w:pPr>
                <w:r>
                  <w:rPr>
                    <w:rFonts w:ascii="Arial" w:hAnsi="Arial" w:hint="cs"/>
                    <w:b/>
                    <w:bCs/>
                    <w:noProof w:val="0"/>
                    <w:sz w:val="26"/>
                    <w:szCs w:val="26"/>
                    <w:rtl/>
                  </w:rPr>
                  <w:t>מבקשים</w:t>
                </w:r>
              </w:p>
            </w:sdtContent>
          </w:sdt>
        </w:tc>
        <w:tc>
          <w:tcPr>
            <w:tcW w:w="5571" w:type="dxa"/>
          </w:tcPr>
          <w:p w:rsidR="0094424E" w:rsidRPr="00FA4EAF" w:rsidRDefault="0094424E">
            <w:pPr>
              <w:rPr>
                <w:rFonts w:ascii="Arial" w:hAnsi="Arial"/>
                <w:b/>
                <w:bCs/>
                <w:noProof w:val="0"/>
                <w:sz w:val="26"/>
                <w:szCs w:val="26"/>
                <w:rtl/>
              </w:rPr>
            </w:pPr>
          </w:p>
          <w:p w:rsidR="0094424E" w:rsidRPr="00A17C77" w:rsidRDefault="005400BC" w:rsidP="00A17C77">
            <w:pPr>
              <w:rPr>
                <w:sz w:val="26"/>
                <w:szCs w:val="26"/>
              </w:rPr>
            </w:pPr>
            <w:sdt>
              <w:sdtPr>
                <w:rPr>
                  <w:sz w:val="26"/>
                  <w:szCs w:val="26"/>
                  <w:rtl/>
                </w:rPr>
                <w:alias w:val="1462"/>
                <w:tag w:val="1462"/>
                <w:id w:val="-2139489462"/>
                <w:text w:multiLine="1"/>
              </w:sdtPr>
              <w:sdtEndPr/>
              <w:sdtContent>
                <w:r w:rsidR="001F5DB6">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A17C77">
                  <w:rPr>
                    <w:rFonts w:ascii="Arial" w:hAnsi="Arial" w:hint="cs"/>
                    <w:b/>
                    <w:bCs/>
                    <w:noProof w:val="0"/>
                    <w:sz w:val="26"/>
                    <w:szCs w:val="26"/>
                    <w:rtl/>
                  </w:rPr>
                  <w:t xml:space="preserve">פלוני </w:t>
                </w:r>
                <w:r w:rsidR="001F5DB6">
                  <w:rPr>
                    <w:rFonts w:ascii="Arial" w:hAnsi="Arial"/>
                    <w:b/>
                    <w:bCs/>
                    <w:noProof w:val="0"/>
                    <w:sz w:val="26"/>
                    <w:szCs w:val="26"/>
                    <w:rtl/>
                  </w:rPr>
                  <w:t>(קטין)</w:t>
                </w:r>
              </w:sdtContent>
            </w:sdt>
          </w:p>
          <w:p w:rsidR="0094424E" w:rsidRPr="00A17C77" w:rsidRDefault="005400BC" w:rsidP="00A17C77">
            <w:pPr>
              <w:rPr>
                <w:sz w:val="26"/>
                <w:szCs w:val="26"/>
              </w:rPr>
            </w:pPr>
            <w:sdt>
              <w:sdtPr>
                <w:rPr>
                  <w:sz w:val="26"/>
                  <w:szCs w:val="26"/>
                  <w:rtl/>
                </w:rPr>
                <w:alias w:val="1462"/>
                <w:tag w:val="1462"/>
                <w:id w:val="997395201"/>
                <w:text w:multiLine="1"/>
              </w:sdtPr>
              <w:sdtEndPr/>
              <w:sdtContent>
                <w:r w:rsidR="001F5DB6">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324314732"/>
                <w:text w:multiLine="1"/>
              </w:sdtPr>
              <w:sdtEndPr/>
              <w:sdtContent>
                <w:r w:rsidR="00A17C77">
                  <w:rPr>
                    <w:rFonts w:ascii="Arial" w:hAnsi="Arial" w:hint="cs"/>
                    <w:b/>
                    <w:bCs/>
                    <w:noProof w:val="0"/>
                    <w:sz w:val="26"/>
                    <w:szCs w:val="26"/>
                    <w:rtl/>
                  </w:rPr>
                  <w:t>פלונית</w:t>
                </w:r>
              </w:sdtContent>
            </w:sdt>
          </w:p>
          <w:p w:rsidR="003763AB" w:rsidRDefault="005400BC">
            <w:pPr>
              <w:rPr>
                <w:sz w:val="26"/>
                <w:szCs w:val="26"/>
                <w:rtl/>
              </w:rPr>
            </w:pPr>
            <w:sdt>
              <w:sdtPr>
                <w:rPr>
                  <w:sz w:val="26"/>
                  <w:szCs w:val="26"/>
                  <w:rtl/>
                </w:rPr>
                <w:alias w:val="1462"/>
                <w:tag w:val="1462"/>
                <w:id w:val="703144478"/>
                <w:text w:multiLine="1"/>
              </w:sdtPr>
              <w:sdtEndPr/>
              <w:sdtContent>
                <w:r w:rsidR="001F5DB6">
                  <w:rPr>
                    <w:rFonts w:ascii="Arial" w:hAnsi="Arial"/>
                    <w:b/>
                    <w:bCs/>
                    <w:noProof w:val="0"/>
                    <w:sz w:val="26"/>
                    <w:szCs w:val="26"/>
                    <w:rtl/>
                  </w:rPr>
                  <w:t>3</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509977026"/>
                <w:text w:multiLine="1"/>
              </w:sdtPr>
              <w:sdtEndPr/>
              <w:sdtContent>
                <w:r w:rsidR="00A17C77">
                  <w:rPr>
                    <w:rFonts w:ascii="Arial" w:hAnsi="Arial" w:hint="cs"/>
                    <w:b/>
                    <w:bCs/>
                    <w:noProof w:val="0"/>
                    <w:sz w:val="26"/>
                    <w:szCs w:val="26"/>
                    <w:rtl/>
                  </w:rPr>
                  <w:t>פלוני</w:t>
                </w:r>
              </w:sdtContent>
            </w:sdt>
          </w:p>
          <w:p w:rsidR="0094424E" w:rsidRPr="00FA4EAF" w:rsidRDefault="001D3441">
            <w:pPr>
              <w:rPr>
                <w:b/>
                <w:bCs/>
                <w:noProof w:val="0"/>
                <w:sz w:val="26"/>
                <w:szCs w:val="26"/>
              </w:rPr>
            </w:pPr>
            <w:r>
              <w:rPr>
                <w:rFonts w:hint="cs"/>
                <w:sz w:val="26"/>
                <w:szCs w:val="26"/>
                <w:rtl/>
              </w:rPr>
              <w:t>ע"י ב"כ עו"ד</w:t>
            </w:r>
            <w:r w:rsidR="00A17C77">
              <w:rPr>
                <w:rFonts w:hint="cs"/>
                <w:sz w:val="26"/>
                <w:szCs w:val="26"/>
                <w:rtl/>
              </w:rPr>
              <w:t xml:space="preserve"> ישראל קלינמן, זהרה שטיינברג-חטין</w:t>
            </w: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5400BC">
            <w:pPr>
              <w:rPr>
                <w:rFonts w:ascii="Arial" w:hAnsi="Arial"/>
                <w:b/>
                <w:bCs/>
                <w:noProof w:val="0"/>
                <w:sz w:val="26"/>
                <w:szCs w:val="26"/>
              </w:rPr>
            </w:pPr>
            <w:sdt>
              <w:sdtPr>
                <w:rPr>
                  <w:sz w:val="26"/>
                  <w:szCs w:val="26"/>
                  <w:rtl/>
                </w:rPr>
                <w:alias w:val="1184"/>
                <w:tag w:val="1184"/>
                <w:id w:val="-340621022"/>
                <w:text w:multiLine="1"/>
              </w:sdtPr>
              <w:sdtEndPr/>
              <w:sdtContent>
                <w:r w:rsidR="001F5DB6">
                  <w:rPr>
                    <w:rFonts w:ascii="Arial" w:hAnsi="Arial"/>
                    <w:b/>
                    <w:bCs/>
                    <w:noProof w:val="0"/>
                    <w:sz w:val="26"/>
                    <w:szCs w:val="26"/>
                    <w:rtl/>
                  </w:rPr>
                  <w:t>משיבים</w:t>
                </w:r>
              </w:sdtContent>
            </w:sdt>
          </w:p>
        </w:tc>
        <w:tc>
          <w:tcPr>
            <w:tcW w:w="5571" w:type="dxa"/>
          </w:tcPr>
          <w:p w:rsidR="0094424E" w:rsidRPr="00FA4EAF" w:rsidRDefault="0094424E">
            <w:pPr>
              <w:rPr>
                <w:rFonts w:ascii="Arial" w:hAnsi="Arial"/>
                <w:b/>
                <w:bCs/>
                <w:noProof w:val="0"/>
                <w:sz w:val="26"/>
                <w:szCs w:val="26"/>
                <w:rtl/>
              </w:rPr>
            </w:pPr>
          </w:p>
          <w:p w:rsidR="003763AB" w:rsidRDefault="005400BC">
            <w:pPr>
              <w:rPr>
                <w:sz w:val="26"/>
                <w:szCs w:val="26"/>
                <w:rtl/>
              </w:rPr>
            </w:pPr>
            <w:sdt>
              <w:sdtPr>
                <w:rPr>
                  <w:sz w:val="26"/>
                  <w:szCs w:val="26"/>
                  <w:rtl/>
                </w:rPr>
                <w:alias w:val="1571"/>
                <w:tag w:val="1571"/>
                <w:id w:val="1028836282"/>
                <w:text w:multiLine="1"/>
              </w:sdtPr>
              <w:sdtEndPr/>
              <w:sdtContent>
                <w:r w:rsidR="001F5DB6">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1F5DB6">
                  <w:rPr>
                    <w:rFonts w:ascii="Arial" w:hAnsi="Arial"/>
                    <w:b/>
                    <w:bCs/>
                    <w:noProof w:val="0"/>
                    <w:sz w:val="26"/>
                    <w:szCs w:val="26"/>
                    <w:rtl/>
                  </w:rPr>
                  <w:t>אייל קאופמן</w:t>
                </w:r>
              </w:sdtContent>
            </w:sdt>
          </w:p>
          <w:p w:rsidR="0094424E" w:rsidRPr="00FA4EAF" w:rsidRDefault="001D3441">
            <w:pPr>
              <w:rPr>
                <w:b/>
                <w:bCs/>
                <w:noProof w:val="0"/>
                <w:sz w:val="26"/>
                <w:szCs w:val="26"/>
                <w:rtl/>
              </w:rPr>
            </w:pPr>
            <w:r>
              <w:rPr>
                <w:rFonts w:hint="cs"/>
                <w:sz w:val="26"/>
                <w:szCs w:val="26"/>
                <w:rtl/>
              </w:rPr>
              <w:t>ע"י ב"כ עו"ד</w:t>
            </w:r>
            <w:r w:rsidR="00A17C77">
              <w:rPr>
                <w:rFonts w:hint="cs"/>
                <w:b/>
                <w:bCs/>
                <w:noProof w:val="0"/>
                <w:sz w:val="26"/>
                <w:szCs w:val="26"/>
                <w:rtl/>
              </w:rPr>
              <w:t xml:space="preserve"> </w:t>
            </w:r>
            <w:r w:rsidR="00A17C77" w:rsidRPr="00A17C77">
              <w:rPr>
                <w:rFonts w:hint="cs"/>
                <w:noProof w:val="0"/>
                <w:sz w:val="26"/>
                <w:szCs w:val="26"/>
                <w:rtl/>
              </w:rPr>
              <w:t>צחי גרוסמן</w:t>
            </w:r>
          </w:p>
          <w:p w:rsidR="003763AB" w:rsidRDefault="005400BC">
            <w:pPr>
              <w:rPr>
                <w:sz w:val="26"/>
                <w:szCs w:val="26"/>
                <w:rtl/>
              </w:rPr>
            </w:pPr>
            <w:sdt>
              <w:sdtPr>
                <w:rPr>
                  <w:sz w:val="26"/>
                  <w:szCs w:val="26"/>
                  <w:rtl/>
                </w:rPr>
                <w:alias w:val="1571"/>
                <w:tag w:val="1571"/>
                <w:id w:val="-866529176"/>
                <w:text w:multiLine="1"/>
              </w:sdtPr>
              <w:sdtEndPr/>
              <w:sdtContent>
                <w:r w:rsidR="001F5DB6">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238165639"/>
                <w:text w:multiLine="1"/>
              </w:sdtPr>
              <w:sdtEndPr/>
              <w:sdtContent>
                <w:r w:rsidR="001F5DB6">
                  <w:rPr>
                    <w:rFonts w:ascii="Arial" w:hAnsi="Arial"/>
                    <w:b/>
                    <w:bCs/>
                    <w:noProof w:val="0"/>
                    <w:sz w:val="26"/>
                    <w:szCs w:val="26"/>
                    <w:rtl/>
                  </w:rPr>
                  <w:t>מדינת ישראל</w:t>
                </w:r>
              </w:sdtContent>
            </w:sdt>
          </w:p>
          <w:p w:rsidR="0094424E" w:rsidRPr="00A17C77" w:rsidRDefault="001D3441">
            <w:pPr>
              <w:rPr>
                <w:noProof w:val="0"/>
                <w:sz w:val="26"/>
                <w:szCs w:val="26"/>
                <w:rtl/>
              </w:rPr>
            </w:pPr>
            <w:r>
              <w:rPr>
                <w:rFonts w:hint="cs"/>
                <w:sz w:val="26"/>
                <w:szCs w:val="26"/>
                <w:rtl/>
              </w:rPr>
              <w:t>ע"י ב"כ עו"ד</w:t>
            </w:r>
            <w:r w:rsidR="00A17C77">
              <w:rPr>
                <w:rFonts w:hint="cs"/>
                <w:b/>
                <w:bCs/>
                <w:noProof w:val="0"/>
                <w:sz w:val="26"/>
                <w:szCs w:val="26"/>
                <w:rtl/>
              </w:rPr>
              <w:t xml:space="preserve"> </w:t>
            </w:r>
            <w:r w:rsidR="00A17C77">
              <w:rPr>
                <w:rFonts w:hint="cs"/>
                <w:noProof w:val="0"/>
                <w:sz w:val="26"/>
                <w:szCs w:val="26"/>
                <w:rtl/>
              </w:rPr>
              <w:t>פרקליטות מחוז תל אביב, שמואל צור</w:t>
            </w:r>
          </w:p>
          <w:p w:rsidR="003763AB" w:rsidRDefault="005400BC">
            <w:pPr>
              <w:rPr>
                <w:sz w:val="26"/>
                <w:szCs w:val="26"/>
                <w:rtl/>
              </w:rPr>
            </w:pPr>
            <w:sdt>
              <w:sdtPr>
                <w:rPr>
                  <w:sz w:val="26"/>
                  <w:szCs w:val="26"/>
                  <w:rtl/>
                </w:rPr>
                <w:alias w:val="1571"/>
                <w:tag w:val="1571"/>
                <w:id w:val="481364686"/>
                <w:text w:multiLine="1"/>
              </w:sdtPr>
              <w:sdtEndPr/>
              <w:sdtContent>
                <w:r w:rsidR="001F5DB6">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087802903"/>
                <w:text w:multiLine="1"/>
              </w:sdtPr>
              <w:sdtEndPr/>
              <w:sdtContent>
                <w:r w:rsidR="001F5DB6">
                  <w:rPr>
                    <w:rFonts w:ascii="Arial" w:hAnsi="Arial"/>
                    <w:b/>
                    <w:bCs/>
                    <w:noProof w:val="0"/>
                    <w:sz w:val="26"/>
                    <w:szCs w:val="26"/>
                    <w:rtl/>
                  </w:rPr>
                  <w:t>עיריית גבעתיים</w:t>
                </w:r>
              </w:sdtContent>
            </w:sdt>
          </w:p>
          <w:p w:rsidR="0094424E" w:rsidRPr="00FA4EAF" w:rsidRDefault="001D3441">
            <w:pPr>
              <w:rPr>
                <w:b/>
                <w:bCs/>
                <w:noProof w:val="0"/>
                <w:sz w:val="26"/>
                <w:szCs w:val="26"/>
                <w:rtl/>
              </w:rPr>
            </w:pPr>
            <w:r>
              <w:rPr>
                <w:rFonts w:hint="cs"/>
                <w:sz w:val="26"/>
                <w:szCs w:val="26"/>
                <w:rtl/>
              </w:rPr>
              <w:t>ע"י ב"כ עו"ד</w:t>
            </w:r>
            <w:r w:rsidR="00A17C77">
              <w:rPr>
                <w:rFonts w:hint="cs"/>
                <w:b/>
                <w:bCs/>
                <w:noProof w:val="0"/>
                <w:sz w:val="26"/>
                <w:szCs w:val="26"/>
                <w:rtl/>
              </w:rPr>
              <w:t xml:space="preserve"> </w:t>
            </w:r>
            <w:r w:rsidR="00A17C77" w:rsidRPr="00A17C77">
              <w:rPr>
                <w:rFonts w:hint="cs"/>
                <w:noProof w:val="0"/>
                <w:sz w:val="26"/>
                <w:szCs w:val="26"/>
                <w:rtl/>
              </w:rPr>
              <w:t>אבנר קלוזנר</w:t>
            </w:r>
          </w:p>
        </w:tc>
      </w:tr>
      <w:tr w:rsidR="004C17EE" w:rsidRPr="00FA4EAF" w:rsidTr="00D620FD">
        <w:trPr>
          <w:jc w:val="center"/>
        </w:trPr>
        <w:tc>
          <w:tcPr>
            <w:tcW w:w="8820" w:type="dxa"/>
            <w:gridSpan w:val="3"/>
          </w:tcPr>
          <w:p w:rsidR="002B223E" w:rsidRDefault="002B223E">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1322C6" w:rsidRDefault="001322C6" w:rsidP="001322C6">
      <w:pPr>
        <w:spacing w:after="160" w:line="480" w:lineRule="auto"/>
        <w:jc w:val="both"/>
        <w:rPr>
          <w:rFonts w:ascii="David" w:hAnsi="David"/>
          <w:rtl/>
        </w:rPr>
      </w:pPr>
      <w:bookmarkStart w:id="1" w:name="NGCSBookmark"/>
      <w:bookmarkEnd w:id="1"/>
      <w:r w:rsidRPr="00967DF9">
        <w:rPr>
          <w:rFonts w:ascii="David" w:hAnsi="David"/>
          <w:rtl/>
        </w:rPr>
        <w:t>לפני בקשת רשו</w:t>
      </w:r>
      <w:r>
        <w:rPr>
          <w:rFonts w:ascii="David" w:hAnsi="David"/>
          <w:rtl/>
        </w:rPr>
        <w:t>ת ערעור על  החלטת בית המשפט קמא</w:t>
      </w:r>
      <w:r>
        <w:rPr>
          <w:rFonts w:ascii="David" w:hAnsi="David" w:hint="cs"/>
          <w:rtl/>
        </w:rPr>
        <w:t xml:space="preserve"> מיום 15.10.24 (ת"א 30196-09-22; ת"א 21426-06-18</w:t>
      </w:r>
      <w:r>
        <w:rPr>
          <w:rFonts w:ascii="David" w:hAnsi="David"/>
          <w:rtl/>
        </w:rPr>
        <w:t>, כב' השופטת מלכה ספינזי</w:t>
      </w:r>
      <w:r>
        <w:rPr>
          <w:rFonts w:ascii="David" w:hAnsi="David" w:hint="cs"/>
          <w:rtl/>
        </w:rPr>
        <w:t>-</w:t>
      </w:r>
      <w:r w:rsidRPr="00967DF9">
        <w:rPr>
          <w:rFonts w:ascii="David" w:hAnsi="David"/>
          <w:rtl/>
        </w:rPr>
        <w:t>שניאור</w:t>
      </w:r>
      <w:r>
        <w:rPr>
          <w:rFonts w:ascii="David" w:hAnsi="David" w:hint="cs"/>
          <w:rtl/>
        </w:rPr>
        <w:t>) בגדרה נדחתה בקשת המבקשים להמציא למומחית הפסיכיאטרית שמונתה, את חוות הדעת הראשונה שניתנה על ידי מומחית קודמת בהליך הקודם, ולאחר מכן נפסלה.</w:t>
      </w:r>
    </w:p>
    <w:p w:rsidR="001322C6" w:rsidRDefault="001322C6" w:rsidP="001322C6">
      <w:pPr>
        <w:spacing w:after="160" w:line="480" w:lineRule="auto"/>
        <w:jc w:val="both"/>
        <w:rPr>
          <w:rFonts w:ascii="David" w:hAnsi="David"/>
          <w:rtl/>
        </w:rPr>
      </w:pPr>
      <w:r>
        <w:rPr>
          <w:rFonts w:ascii="David" w:hAnsi="David" w:hint="cs"/>
          <w:b/>
          <w:bCs/>
          <w:rtl/>
        </w:rPr>
        <w:t xml:space="preserve">תמצית </w:t>
      </w:r>
      <w:r w:rsidRPr="00D80189">
        <w:rPr>
          <w:rFonts w:ascii="David" w:hAnsi="David" w:hint="cs"/>
          <w:b/>
          <w:bCs/>
          <w:rtl/>
        </w:rPr>
        <w:t>העובדות וטענות הצדדים</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המבקש מס' 1  הינו קטין (להלן: "</w:t>
      </w:r>
      <w:r w:rsidRPr="00C44153">
        <w:rPr>
          <w:rFonts w:ascii="David" w:hAnsi="David" w:cs="David" w:hint="cs"/>
          <w:b/>
          <w:bCs/>
          <w:sz w:val="24"/>
          <w:szCs w:val="24"/>
          <w:rtl/>
        </w:rPr>
        <w:t>המבקש</w:t>
      </w:r>
      <w:r>
        <w:rPr>
          <w:rFonts w:ascii="David" w:hAnsi="David" w:cs="David" w:hint="cs"/>
          <w:sz w:val="24"/>
          <w:szCs w:val="24"/>
          <w:rtl/>
        </w:rPr>
        <w:t>") והמבקשים  2 ו-3 הינם הוריו.</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lastRenderedPageBreak/>
        <w:t>המשיב מס' 1 (להלן: "</w:t>
      </w:r>
      <w:r w:rsidRPr="00C44153">
        <w:rPr>
          <w:rFonts w:ascii="David" w:hAnsi="David" w:cs="David" w:hint="cs"/>
          <w:b/>
          <w:bCs/>
          <w:sz w:val="24"/>
          <w:szCs w:val="24"/>
          <w:rtl/>
        </w:rPr>
        <w:t>המשיב</w:t>
      </w:r>
      <w:r>
        <w:rPr>
          <w:rFonts w:ascii="David" w:hAnsi="David" w:cs="David" w:hint="cs"/>
          <w:sz w:val="24"/>
          <w:szCs w:val="24"/>
          <w:rtl/>
        </w:rPr>
        <w:t>") הינו אביו של קטין בן גילו של המבקש. המשיב תקף את המבקש בשל סכסוך בין שני הקטינים.</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המבקשים הגישו תביעה לקבלת פיצוי בגין הנזק שנגרם לטענתם למבקש.</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התביעה הראשונה הוגשה בחודש יוני 2018 ונתמכה בחוות דעת מומחה פסיכיאטר. המשיבים התגוננו ותמכו את הגנתם בחוות דעת נגדית. בית המשפט קמא מינה כמומחית מטעמו, את ד"ר גלילי ויסטוב.</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המומחית בדקה את המבקש וקבעה לו נכות זמנית.</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המבקשים ביקשו למחוק את כתב התביעה על מנת להגישה בשנית כשהנזק יתגבש.</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ביום 12.9.22 הוגשה התביעה בשנית. המומחית בדקה את המבקש בשנית קבעה לו נכות בשיעור 15%, תוך שציינה שכנראה יחול שיפור במצב.</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 xml:space="preserve">למשיבים התברר שהמומחית לא התייחסה לחומר ששלחו לה, ובהחלטת בית המשפט קמא, החומר נשלח בשנית, המומחית התבקשה להתייחס לחומר הרפואי שנשלח לגבי עברו של המבקש. לאחר פניה זו, המומחית תיקנה את חוות דעתה וקבעה ששליש מהנכות שנקבעה אינו קשור לאירוע מושא התביעה. </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lastRenderedPageBreak/>
        <w:t>בשל אי בהירות בחוות הדעת נשלחה למומחית, נשאלה שאלת הבהרה נוספת, האם הנכות קבועה או שמא עדיין זמנית. המומחית לא השיבה לשאלת ההבהרה.</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המבקשים ביקשו לפסול את המומחית ולמנות תחתיה מומחה אחר. המשיבים הסכימו ומונתה ד"ר פנינג.</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המבקשים ביקשו לשלוח לד"ר פנינג את חוות הדעת הראשונה של המומחית אשר קבעה למבקש נכות זמנית. המשיבים התנגדו ובית המשפט קמא אסר על שליחת חוות הדעת. מכאן בקשת רשות הערעור.</w:t>
      </w:r>
    </w:p>
    <w:p w:rsidR="001322C6" w:rsidRDefault="001322C6" w:rsidP="005D1541">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המבקשים טוענים כי בית המשפט קמא טעה בהחלטתו מאחר ובהחלטה על מחיקת התביעה הראשונה צוין במפורש שההליכים בתביעה הראשונה יחייבו בהליכים חדשים. בית המשפט קמא, לטענתם, שגה בכך שלא הפריד בין פסילת חוות הדעת האחרות שהוגשו בתביעה החדשה שהוגשה, לבין חוות הדעת הראשונה</w:t>
      </w:r>
      <w:r w:rsidR="005D1541">
        <w:rPr>
          <w:rFonts w:ascii="David" w:hAnsi="David" w:cs="David" w:hint="cs"/>
          <w:sz w:val="24"/>
          <w:szCs w:val="24"/>
          <w:rtl/>
        </w:rPr>
        <w:t xml:space="preserve"> מההליך הקודם </w:t>
      </w:r>
      <w:r>
        <w:rPr>
          <w:rFonts w:ascii="David" w:hAnsi="David" w:cs="David" w:hint="cs"/>
          <w:sz w:val="24"/>
          <w:szCs w:val="24"/>
          <w:rtl/>
        </w:rPr>
        <w:t xml:space="preserve">אשר מחייבת. הפסילה לדידם הייתה מסיבה טכנית לאחר שהמומחית לא השיבה לשאלות ההבהרה. </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המשיבים מצדם סומכים ידם על החלטת בית המשפט קמא, לטענתם לא ניתן להפריד בין חוות הדעת. הם לא מסכימים עם חוות הדעת של המומחית אשר לא התייחסה למצב קודם, ככל שלא היתה ניתנת החלטה על פסילת המומחית היו מזמנים אותה לחקירה, לכן בשלב זה אין לאפשר למומחית החדשה שמונתה לעיין בחוות הדעת. אין אפשרות להפריד בין חוות הדעת ולהציג רק חוות דעת אחת.</w:t>
      </w:r>
    </w:p>
    <w:p w:rsidR="001322C6" w:rsidRPr="001322C6" w:rsidRDefault="001322C6" w:rsidP="001322C6">
      <w:pPr>
        <w:spacing w:after="160" w:line="480" w:lineRule="auto"/>
        <w:jc w:val="both"/>
        <w:rPr>
          <w:rFonts w:ascii="David" w:hAnsi="David"/>
          <w:b/>
          <w:bCs/>
        </w:rPr>
      </w:pPr>
      <w:r>
        <w:rPr>
          <w:rFonts w:ascii="David" w:hAnsi="David" w:hint="cs"/>
          <w:b/>
          <w:bCs/>
          <w:rtl/>
        </w:rPr>
        <w:lastRenderedPageBreak/>
        <w:t>דיון והכרעה</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 xml:space="preserve">לאחר עיון בבקשה ובתגובה לבקשה נחה דעתי כי דין הבקשה להידחות. </w:t>
      </w:r>
    </w:p>
    <w:p w:rsidR="001322C6" w:rsidRPr="002F0D99" w:rsidRDefault="001322C6" w:rsidP="001322C6">
      <w:pPr>
        <w:pStyle w:val="ad"/>
        <w:numPr>
          <w:ilvl w:val="0"/>
          <w:numId w:val="1"/>
        </w:numPr>
        <w:spacing w:line="480" w:lineRule="auto"/>
        <w:jc w:val="both"/>
        <w:rPr>
          <w:rFonts w:ascii="David" w:hAnsi="David" w:cs="David"/>
          <w:sz w:val="24"/>
          <w:szCs w:val="24"/>
        </w:rPr>
      </w:pPr>
      <w:r w:rsidRPr="002F0D99">
        <w:rPr>
          <w:rFonts w:ascii="David" w:hAnsi="David" w:cs="David" w:hint="cs"/>
          <w:sz w:val="24"/>
          <w:szCs w:val="24"/>
          <w:rtl/>
        </w:rPr>
        <w:t xml:space="preserve">ראשית, מדובר בהחלטה דיונית, ערכאת הערעור אינה נוטה להתערב בהחלטות בעלות אופי דיוני ובכללן החלטות בעניין מינוי מומחים. לערכאה הדיונית נתון שיקול דעת רחב בנוגע לניהול ההליך ולא בנקל תתערב בו ערכאת הערעור, אלא כאשר נמצא כי מדובר במקרה חריג או כי ההחלטה מנוגדת לדין או גורמת לעיוות דין. ביקורת ערכאת הערעור על החלטות ביניים של הערכאה הדיונית תיעשה ככלל במסגרת ערעור על פסק דין (ככל שיוגש) למעט במקרים חריגים בהם נפלה טעות מהותית או מקרים שבהם נחוצה התערבות בשלב מוקדם כדי למנוע נזק בלתי הפיך או ניהול הליך מיותר (רע"א 5037/23 </w:t>
      </w:r>
      <w:r w:rsidRPr="002F0D99">
        <w:rPr>
          <w:rFonts w:ascii="David" w:hAnsi="David" w:cs="David" w:hint="cs"/>
          <w:b/>
          <w:bCs/>
          <w:sz w:val="24"/>
          <w:szCs w:val="24"/>
          <w:rtl/>
        </w:rPr>
        <w:t>גיל עם מזרחי נ' יחזקאל מועלם</w:t>
      </w:r>
      <w:r w:rsidRPr="002F0D99">
        <w:rPr>
          <w:rFonts w:ascii="David" w:hAnsi="David" w:cs="David" w:hint="cs"/>
          <w:sz w:val="24"/>
          <w:szCs w:val="24"/>
          <w:rtl/>
        </w:rPr>
        <w:t xml:space="preserve">, פסקה 15 (‏4.9.2023); רע"א 2961/17 </w:t>
      </w:r>
      <w:r w:rsidRPr="002F0D99">
        <w:rPr>
          <w:rFonts w:ascii="David" w:hAnsi="David" w:cs="David" w:hint="cs"/>
          <w:b/>
          <w:bCs/>
          <w:sz w:val="24"/>
          <w:szCs w:val="24"/>
          <w:rtl/>
        </w:rPr>
        <w:t>דגנית אלפרין נ' מדינת ישראל</w:t>
      </w:r>
      <w:r w:rsidRPr="002F0D99">
        <w:rPr>
          <w:rFonts w:ascii="David" w:hAnsi="David" w:cs="David" w:hint="cs"/>
          <w:sz w:val="24"/>
          <w:szCs w:val="24"/>
          <w:rtl/>
        </w:rPr>
        <w:t xml:space="preserve">, בפסקה 8 (‏19.4.2017); רע"א 4471/21 </w:t>
      </w:r>
      <w:r w:rsidRPr="002F0D99">
        <w:rPr>
          <w:rFonts w:ascii="David" w:hAnsi="David" w:cs="David" w:hint="cs"/>
          <w:b/>
          <w:bCs/>
          <w:sz w:val="24"/>
          <w:szCs w:val="24"/>
          <w:rtl/>
        </w:rPr>
        <w:t>מדינת ישראל נ' פלוני</w:t>
      </w:r>
      <w:r w:rsidRPr="002F0D99">
        <w:rPr>
          <w:rFonts w:ascii="David" w:hAnsi="David" w:cs="David" w:hint="cs"/>
          <w:sz w:val="24"/>
          <w:szCs w:val="24"/>
          <w:rtl/>
        </w:rPr>
        <w:t>, פסקה 10 (‏26.12.2021)). לא מצאתי כי מקרה זה נמנה עם החריגים המצדיקים התערבות ערכאת הערעור.</w:t>
      </w:r>
    </w:p>
    <w:p w:rsidR="001322C6" w:rsidRPr="009B7ACF" w:rsidRDefault="001322C6" w:rsidP="001322C6">
      <w:pPr>
        <w:pStyle w:val="ad"/>
        <w:numPr>
          <w:ilvl w:val="0"/>
          <w:numId w:val="1"/>
        </w:numPr>
        <w:spacing w:line="480" w:lineRule="auto"/>
        <w:jc w:val="both"/>
        <w:rPr>
          <w:rFonts w:ascii="David" w:hAnsi="David" w:cs="David"/>
          <w:b/>
          <w:bCs/>
          <w:sz w:val="24"/>
          <w:szCs w:val="24"/>
          <w:rtl/>
        </w:rPr>
      </w:pPr>
      <w:r w:rsidRPr="009B7ACF">
        <w:rPr>
          <w:rFonts w:ascii="David" w:hAnsi="David" w:cs="David" w:hint="cs"/>
          <w:sz w:val="24"/>
          <w:szCs w:val="24"/>
          <w:rtl/>
        </w:rPr>
        <w:t>גם לגופו של ענין מצאתי כי החלטה נכונה ואין מקום להתערב</w:t>
      </w:r>
      <w:r>
        <w:rPr>
          <w:rFonts w:ascii="David" w:hAnsi="David" w:cs="David" w:hint="cs"/>
          <w:sz w:val="24"/>
          <w:szCs w:val="24"/>
          <w:rtl/>
        </w:rPr>
        <w:t xml:space="preserve"> בה</w:t>
      </w:r>
      <w:r w:rsidRPr="009B7ACF">
        <w:rPr>
          <w:rFonts w:ascii="David" w:hAnsi="David" w:cs="David" w:hint="cs"/>
          <w:sz w:val="24"/>
          <w:szCs w:val="24"/>
          <w:rtl/>
        </w:rPr>
        <w:t>. אכן ניתנה החלטה עם מחיקת ההליך הקודם</w:t>
      </w:r>
      <w:r>
        <w:rPr>
          <w:rFonts w:ascii="David" w:hAnsi="David" w:cs="David" w:hint="cs"/>
          <w:sz w:val="24"/>
          <w:szCs w:val="24"/>
          <w:rtl/>
        </w:rPr>
        <w:t>, לפיה</w:t>
      </w:r>
      <w:r w:rsidRPr="009B7ACF">
        <w:rPr>
          <w:rFonts w:ascii="David" w:hAnsi="David" w:cs="David" w:hint="cs"/>
          <w:sz w:val="24"/>
          <w:szCs w:val="24"/>
          <w:rtl/>
        </w:rPr>
        <w:t xml:space="preserve"> ההליכים שהתקיימ</w:t>
      </w:r>
      <w:r w:rsidRPr="009B7ACF">
        <w:rPr>
          <w:rFonts w:ascii="David" w:hAnsi="David" w:cs="David" w:hint="eastAsia"/>
          <w:sz w:val="24"/>
          <w:szCs w:val="24"/>
          <w:rtl/>
        </w:rPr>
        <w:t>ו</w:t>
      </w:r>
      <w:r w:rsidRPr="009B7ACF">
        <w:rPr>
          <w:rFonts w:ascii="David" w:hAnsi="David" w:cs="David" w:hint="cs"/>
          <w:sz w:val="24"/>
          <w:szCs w:val="24"/>
          <w:rtl/>
        </w:rPr>
        <w:t xml:space="preserve"> עד כה יחייבו. יחד עם זאת</w:t>
      </w:r>
      <w:r>
        <w:rPr>
          <w:rFonts w:ascii="David" w:hAnsi="David" w:cs="David" w:hint="cs"/>
          <w:sz w:val="24"/>
          <w:szCs w:val="24"/>
          <w:rtl/>
        </w:rPr>
        <w:t>,</w:t>
      </w:r>
      <w:r w:rsidRPr="009B7ACF">
        <w:rPr>
          <w:rFonts w:ascii="David" w:hAnsi="David" w:cs="David" w:hint="cs"/>
          <w:sz w:val="24"/>
          <w:szCs w:val="24"/>
          <w:rtl/>
        </w:rPr>
        <w:t xml:space="preserve"> חלו התפתחויות בהליך החדש</w:t>
      </w:r>
      <w:r>
        <w:rPr>
          <w:rFonts w:ascii="David" w:hAnsi="David" w:cs="David" w:hint="cs"/>
          <w:sz w:val="24"/>
          <w:szCs w:val="24"/>
          <w:rtl/>
        </w:rPr>
        <w:t>, וחוות הדעת של המומחית נפסלו.</w:t>
      </w:r>
      <w:r w:rsidRPr="009B7ACF">
        <w:rPr>
          <w:rFonts w:ascii="David" w:hAnsi="David" w:cs="David" w:hint="cs"/>
          <w:sz w:val="24"/>
          <w:szCs w:val="24"/>
          <w:rtl/>
        </w:rPr>
        <w:t xml:space="preserve"> הפסילה כוללת את כל חוות הדעת גם מההליך הקודם</w:t>
      </w:r>
      <w:r>
        <w:rPr>
          <w:rFonts w:ascii="David" w:hAnsi="David" w:cs="David" w:hint="cs"/>
          <w:sz w:val="24"/>
          <w:szCs w:val="24"/>
          <w:rtl/>
        </w:rPr>
        <w:t>,</w:t>
      </w:r>
      <w:r w:rsidRPr="009B7ACF">
        <w:rPr>
          <w:rFonts w:ascii="David" w:hAnsi="David" w:cs="David" w:hint="cs"/>
          <w:sz w:val="24"/>
          <w:szCs w:val="24"/>
          <w:rtl/>
        </w:rPr>
        <w:t xml:space="preserve"> על כן החלטה זו אינה סותרת את ההחלטה על המשך ההליכים. ההליך המשיך להתנהל, נעשתה פני</w:t>
      </w:r>
      <w:r>
        <w:rPr>
          <w:rFonts w:ascii="David" w:hAnsi="David" w:cs="David" w:hint="cs"/>
          <w:sz w:val="24"/>
          <w:szCs w:val="24"/>
          <w:rtl/>
        </w:rPr>
        <w:t>י</w:t>
      </w:r>
      <w:r w:rsidRPr="009B7ACF">
        <w:rPr>
          <w:rFonts w:ascii="David" w:hAnsi="David" w:cs="David" w:hint="cs"/>
          <w:sz w:val="24"/>
          <w:szCs w:val="24"/>
          <w:rtl/>
        </w:rPr>
        <w:t xml:space="preserve">ה לאותה </w:t>
      </w:r>
      <w:r w:rsidRPr="009B7ACF">
        <w:rPr>
          <w:rFonts w:ascii="David" w:hAnsi="David" w:cs="David" w:hint="cs"/>
          <w:sz w:val="24"/>
          <w:szCs w:val="24"/>
          <w:rtl/>
        </w:rPr>
        <w:lastRenderedPageBreak/>
        <w:t>מומחית בהמשך לחוות דעתה הקודמת, חרף הסתי</w:t>
      </w:r>
      <w:r>
        <w:rPr>
          <w:rFonts w:ascii="David" w:hAnsi="David" w:cs="David" w:hint="cs"/>
          <w:sz w:val="24"/>
          <w:szCs w:val="24"/>
          <w:rtl/>
        </w:rPr>
        <w:t>י</w:t>
      </w:r>
      <w:r w:rsidRPr="009B7ACF">
        <w:rPr>
          <w:rFonts w:ascii="David" w:hAnsi="David" w:cs="David" w:hint="cs"/>
          <w:sz w:val="24"/>
          <w:szCs w:val="24"/>
          <w:rtl/>
        </w:rPr>
        <w:t xml:space="preserve">גויות המשיבים, </w:t>
      </w:r>
      <w:r w:rsidRPr="009B7ACF">
        <w:rPr>
          <w:rFonts w:ascii="David" w:hAnsi="David" w:cs="David"/>
          <w:sz w:val="24"/>
          <w:szCs w:val="24"/>
          <w:rtl/>
        </w:rPr>
        <w:t>ורק לאחר מתן חוות דעת נוספת ומתן תשובה נוספת</w:t>
      </w:r>
      <w:r>
        <w:rPr>
          <w:rFonts w:ascii="David" w:hAnsi="David" w:cs="David" w:hint="cs"/>
          <w:sz w:val="24"/>
          <w:szCs w:val="24"/>
          <w:rtl/>
        </w:rPr>
        <w:t>,</w:t>
      </w:r>
      <w:r w:rsidRPr="009B7ACF">
        <w:rPr>
          <w:rFonts w:ascii="David" w:hAnsi="David" w:cs="David"/>
          <w:sz w:val="24"/>
          <w:szCs w:val="24"/>
          <w:rtl/>
        </w:rPr>
        <w:t xml:space="preserve"> התעוררה בקשת הפסילה</w:t>
      </w:r>
      <w:r>
        <w:rPr>
          <w:rFonts w:ascii="David" w:hAnsi="David" w:cs="David" w:hint="cs"/>
          <w:sz w:val="24"/>
          <w:szCs w:val="24"/>
          <w:rtl/>
        </w:rPr>
        <w:t>,</w:t>
      </w:r>
      <w:r w:rsidRPr="009B7ACF">
        <w:rPr>
          <w:rFonts w:ascii="David" w:hAnsi="David" w:cs="David"/>
          <w:sz w:val="24"/>
          <w:szCs w:val="24"/>
          <w:rtl/>
        </w:rPr>
        <w:t xml:space="preserve"> תהא סיבתה אשר תהא, בין אם מסיבה טכנית ובין אם מסיבה עניינית</w:t>
      </w:r>
      <w:r>
        <w:rPr>
          <w:rFonts w:ascii="David" w:hAnsi="David" w:cs="David" w:hint="cs"/>
          <w:sz w:val="24"/>
          <w:szCs w:val="24"/>
          <w:rtl/>
        </w:rPr>
        <w:t>.</w:t>
      </w:r>
      <w:r w:rsidRPr="009B7ACF">
        <w:rPr>
          <w:rFonts w:ascii="David" w:hAnsi="David" w:cs="David"/>
          <w:sz w:val="24"/>
          <w:szCs w:val="24"/>
          <w:rtl/>
        </w:rPr>
        <w:t xml:space="preserve"> </w:t>
      </w:r>
      <w:r>
        <w:rPr>
          <w:rFonts w:ascii="David" w:hAnsi="David" w:cs="David" w:hint="cs"/>
          <w:sz w:val="24"/>
          <w:szCs w:val="24"/>
          <w:rtl/>
        </w:rPr>
        <w:t xml:space="preserve">המומחית נפסלה ועם פסילה זו נפסלו כל תוצרי הלוואי שערכה ובכללם </w:t>
      </w:r>
      <w:r w:rsidRPr="009B7ACF">
        <w:rPr>
          <w:rFonts w:ascii="David" w:hAnsi="David" w:cs="David"/>
          <w:sz w:val="24"/>
          <w:szCs w:val="24"/>
          <w:rtl/>
        </w:rPr>
        <w:t>חוות הדעת</w:t>
      </w:r>
      <w:r>
        <w:rPr>
          <w:rFonts w:ascii="David" w:hAnsi="David" w:cs="David" w:hint="cs"/>
          <w:sz w:val="24"/>
          <w:szCs w:val="24"/>
          <w:rtl/>
        </w:rPr>
        <w:t xml:space="preserve"> הראשונה, שאינה </w:t>
      </w:r>
      <w:r w:rsidRPr="009B7ACF">
        <w:rPr>
          <w:rFonts w:ascii="David" w:hAnsi="David" w:cs="David"/>
          <w:sz w:val="24"/>
          <w:szCs w:val="24"/>
          <w:rtl/>
        </w:rPr>
        <w:t>מהוו</w:t>
      </w:r>
      <w:r>
        <w:rPr>
          <w:rFonts w:ascii="David" w:hAnsi="David" w:cs="David" w:hint="cs"/>
          <w:sz w:val="24"/>
          <w:szCs w:val="24"/>
          <w:rtl/>
        </w:rPr>
        <w:t>ה</w:t>
      </w:r>
      <w:r w:rsidRPr="009B7ACF">
        <w:rPr>
          <w:rFonts w:ascii="David" w:hAnsi="David" w:cs="David"/>
          <w:sz w:val="24"/>
          <w:szCs w:val="24"/>
          <w:rtl/>
        </w:rPr>
        <w:t xml:space="preserve"> עוד ראיה בתיק</w:t>
      </w:r>
      <w:r>
        <w:rPr>
          <w:rFonts w:ascii="David" w:hAnsi="David" w:cs="David" w:hint="cs"/>
          <w:sz w:val="24"/>
          <w:szCs w:val="24"/>
          <w:rtl/>
        </w:rPr>
        <w:t xml:space="preserve">, על כן </w:t>
      </w:r>
      <w:r w:rsidRPr="009B7ACF">
        <w:rPr>
          <w:rFonts w:ascii="David" w:hAnsi="David" w:cs="David"/>
          <w:sz w:val="24"/>
          <w:szCs w:val="24"/>
          <w:rtl/>
        </w:rPr>
        <w:t>לא נ</w:t>
      </w:r>
      <w:r>
        <w:rPr>
          <w:rFonts w:ascii="David" w:hAnsi="David" w:cs="David" w:hint="cs"/>
          <w:sz w:val="24"/>
          <w:szCs w:val="24"/>
          <w:rtl/>
        </w:rPr>
        <w:t>י</w:t>
      </w:r>
      <w:r w:rsidRPr="009B7ACF">
        <w:rPr>
          <w:rFonts w:ascii="David" w:hAnsi="David" w:cs="David"/>
          <w:sz w:val="24"/>
          <w:szCs w:val="24"/>
          <w:rtl/>
        </w:rPr>
        <w:t>תן</w:t>
      </w:r>
      <w:r>
        <w:rPr>
          <w:rFonts w:ascii="David" w:hAnsi="David" w:cs="David"/>
          <w:sz w:val="24"/>
          <w:szCs w:val="24"/>
          <w:rtl/>
        </w:rPr>
        <w:t xml:space="preserve"> לעשות בה שימוש על ידי צד כלשהו</w:t>
      </w:r>
      <w:r w:rsidRPr="009B7ACF">
        <w:rPr>
          <w:rFonts w:ascii="David" w:hAnsi="David" w:cs="David"/>
          <w:sz w:val="24"/>
          <w:szCs w:val="24"/>
          <w:rtl/>
        </w:rPr>
        <w:t xml:space="preserve"> </w:t>
      </w:r>
      <w:r>
        <w:rPr>
          <w:rFonts w:ascii="David" w:hAnsi="David" w:cs="David" w:hint="cs"/>
          <w:sz w:val="24"/>
          <w:szCs w:val="24"/>
          <w:rtl/>
        </w:rPr>
        <w:t>(</w:t>
      </w:r>
      <w:r w:rsidRPr="009B7ACF">
        <w:rPr>
          <w:rFonts w:ascii="David" w:hAnsi="David" w:cs="David"/>
          <w:sz w:val="24"/>
          <w:szCs w:val="24"/>
          <w:rtl/>
        </w:rPr>
        <w:t>ר'</w:t>
      </w:r>
      <w:r>
        <w:rPr>
          <w:rFonts w:ascii="David" w:hAnsi="David" w:cs="David" w:hint="cs"/>
          <w:sz w:val="24"/>
          <w:szCs w:val="24"/>
          <w:rtl/>
        </w:rPr>
        <w:t xml:space="preserve"> והשוו:</w:t>
      </w:r>
      <w:r w:rsidRPr="009B7ACF">
        <w:rPr>
          <w:rFonts w:ascii="David" w:hAnsi="David" w:cs="David"/>
          <w:sz w:val="24"/>
          <w:szCs w:val="24"/>
          <w:rtl/>
        </w:rPr>
        <w:t xml:space="preserve"> </w:t>
      </w:r>
      <w:r w:rsidRPr="00807225">
        <w:rPr>
          <w:rFonts w:ascii="David" w:hAnsi="David" w:cs="David"/>
          <w:sz w:val="24"/>
          <w:szCs w:val="24"/>
          <w:rtl/>
        </w:rPr>
        <w:t>רע</w:t>
      </w:r>
      <w:r>
        <w:rPr>
          <w:rFonts w:ascii="David" w:hAnsi="David" w:cs="David" w:hint="cs"/>
          <w:sz w:val="24"/>
          <w:szCs w:val="24"/>
          <w:rtl/>
        </w:rPr>
        <w:t>"</w:t>
      </w:r>
      <w:r w:rsidRPr="00807225">
        <w:rPr>
          <w:rFonts w:ascii="David" w:hAnsi="David" w:cs="David" w:hint="cs"/>
          <w:sz w:val="24"/>
          <w:szCs w:val="24"/>
          <w:rtl/>
        </w:rPr>
        <w:t>א</w:t>
      </w:r>
      <w:r w:rsidRPr="00807225">
        <w:rPr>
          <w:rFonts w:ascii="David" w:hAnsi="David" w:cs="David"/>
          <w:sz w:val="24"/>
          <w:szCs w:val="24"/>
          <w:rtl/>
        </w:rPr>
        <w:t xml:space="preserve"> 2101/14</w:t>
      </w:r>
      <w:r>
        <w:rPr>
          <w:rFonts w:ascii="David" w:hAnsi="David" w:cs="David"/>
          <w:b/>
          <w:bCs/>
          <w:sz w:val="24"/>
          <w:szCs w:val="24"/>
          <w:rtl/>
        </w:rPr>
        <w:t xml:space="preserve"> עתניאל מדאר נ</w:t>
      </w:r>
      <w:r>
        <w:rPr>
          <w:rFonts w:ascii="David" w:hAnsi="David" w:cs="David" w:hint="cs"/>
          <w:b/>
          <w:bCs/>
          <w:sz w:val="24"/>
          <w:szCs w:val="24"/>
          <w:rtl/>
        </w:rPr>
        <w:t>'</w:t>
      </w:r>
      <w:r w:rsidRPr="009B7ACF">
        <w:rPr>
          <w:rFonts w:ascii="David" w:hAnsi="David" w:cs="David"/>
          <w:b/>
          <w:bCs/>
          <w:sz w:val="24"/>
          <w:szCs w:val="24"/>
          <w:rtl/>
        </w:rPr>
        <w:t xml:space="preserve"> רות משע</w:t>
      </w:r>
      <w:r>
        <w:rPr>
          <w:rFonts w:ascii="David" w:hAnsi="David" w:cs="David" w:hint="cs"/>
          <w:b/>
          <w:bCs/>
          <w:sz w:val="24"/>
          <w:szCs w:val="24"/>
          <w:rtl/>
        </w:rPr>
        <w:t>ו</w:t>
      </w:r>
      <w:r w:rsidRPr="009B7ACF">
        <w:rPr>
          <w:rFonts w:ascii="David" w:hAnsi="David" w:cs="David"/>
          <w:b/>
          <w:bCs/>
          <w:sz w:val="24"/>
          <w:szCs w:val="24"/>
          <w:rtl/>
        </w:rPr>
        <w:t>ל</w:t>
      </w:r>
      <w:r>
        <w:rPr>
          <w:rFonts w:ascii="David" w:hAnsi="David" w:cs="David" w:hint="cs"/>
          <w:sz w:val="24"/>
          <w:szCs w:val="24"/>
          <w:rtl/>
        </w:rPr>
        <w:t>, בפסקה 15 (</w:t>
      </w:r>
      <w:r>
        <w:rPr>
          <w:rFonts w:ascii="David" w:hAnsi="David" w:cs="David"/>
          <w:sz w:val="24"/>
          <w:szCs w:val="24"/>
          <w:rtl/>
        </w:rPr>
        <w:t>8.4.2014</w:t>
      </w:r>
      <w:r>
        <w:rPr>
          <w:rFonts w:ascii="David" w:hAnsi="David" w:cs="David" w:hint="cs"/>
          <w:sz w:val="24"/>
          <w:szCs w:val="24"/>
          <w:rtl/>
        </w:rPr>
        <w:t>)).</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 xml:space="preserve">גם לו התביעה היתה ממשיכה להתנהל באותו התיק, לאור ההתפתחויות, עם פסילת המומחית, רשאי בית המשפט להורות על פסילת כל חוות הדעת לרבות חוות הדעת הראשונה, על כן לא היה מקום להמציא את חוות הדעת הראשונה למומחית החדשה. בכל מקרה, דינה של החלטה עדכנית זו, שניתנה על ידי הערכאה הדיונית שדנה בתיק, גוברת על ההחלטה הקודמת לפיה ההליכים הקודמים מחייבים. </w:t>
      </w:r>
    </w:p>
    <w:p w:rsidR="001322C6" w:rsidRDefault="001322C6" w:rsidP="001322C6">
      <w:pPr>
        <w:pStyle w:val="ad"/>
        <w:numPr>
          <w:ilvl w:val="0"/>
          <w:numId w:val="1"/>
        </w:numPr>
        <w:spacing w:line="480" w:lineRule="auto"/>
        <w:jc w:val="both"/>
        <w:rPr>
          <w:rFonts w:ascii="David" w:hAnsi="David" w:cs="David"/>
          <w:sz w:val="24"/>
          <w:szCs w:val="24"/>
        </w:rPr>
      </w:pPr>
      <w:r>
        <w:rPr>
          <w:rFonts w:ascii="David" w:hAnsi="David" w:cs="David" w:hint="cs"/>
          <w:sz w:val="24"/>
          <w:szCs w:val="24"/>
          <w:rtl/>
        </w:rPr>
        <w:t>אשר על כן, בקשת רשות הערעור נדחית. המבקשים יישאו בהוצאות הבקשה בסך 5,000 ₪. המשיבים רשאים לגבות את הסכום מכספי העירבון שהופקדו</w:t>
      </w:r>
      <w:r w:rsidR="00BD4603">
        <w:rPr>
          <w:rFonts w:ascii="David" w:hAnsi="David" w:cs="David" w:hint="cs"/>
          <w:sz w:val="24"/>
          <w:szCs w:val="24"/>
          <w:rtl/>
        </w:rPr>
        <w:t>,</w:t>
      </w:r>
      <w:r>
        <w:rPr>
          <w:rFonts w:ascii="David" w:hAnsi="David" w:cs="David" w:hint="cs"/>
          <w:sz w:val="24"/>
          <w:szCs w:val="24"/>
          <w:rtl/>
        </w:rPr>
        <w:t xml:space="preserve"> באמצעות בא כוחם.</w:t>
      </w:r>
    </w:p>
    <w:p w:rsidR="00C45ACD" w:rsidRDefault="00C45ACD" w:rsidP="00C45ACD">
      <w:pPr>
        <w:pStyle w:val="ad"/>
        <w:spacing w:line="480" w:lineRule="auto"/>
        <w:ind w:left="360"/>
        <w:jc w:val="both"/>
        <w:rPr>
          <w:rFonts w:ascii="David" w:hAnsi="David" w:cs="David"/>
          <w:sz w:val="24"/>
          <w:szCs w:val="24"/>
        </w:rPr>
      </w:pPr>
      <w:r>
        <w:rPr>
          <w:rFonts w:ascii="David" w:hAnsi="David" w:cs="David" w:hint="cs"/>
          <w:sz w:val="24"/>
          <w:szCs w:val="24"/>
          <w:rtl/>
        </w:rPr>
        <w:t>יתרת הפיקדון</w:t>
      </w:r>
      <w:r w:rsidR="004C0C0F">
        <w:rPr>
          <w:rFonts w:ascii="David" w:hAnsi="David" w:cs="David" w:hint="cs"/>
          <w:sz w:val="24"/>
          <w:szCs w:val="24"/>
          <w:rtl/>
        </w:rPr>
        <w:t>, ככל שנותרה,</w:t>
      </w:r>
      <w:r>
        <w:rPr>
          <w:rFonts w:ascii="David" w:hAnsi="David" w:cs="David" w:hint="cs"/>
          <w:sz w:val="24"/>
          <w:szCs w:val="24"/>
          <w:rtl/>
        </w:rPr>
        <w:t xml:space="preserve"> תושב למבקשים באמצעות בא כוחם.</w:t>
      </w:r>
    </w:p>
    <w:p w:rsidR="00694556" w:rsidRPr="001322C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דצמבר 2024</w:t>
          </w:r>
        </w:sdtContent>
      </w:sdt>
      <w:r w:rsidR="00005C8B">
        <w:rPr>
          <w:rFonts w:ascii="Arial" w:hAnsi="Arial"/>
          <w:noProof w:val="0"/>
          <w:rtl/>
        </w:rPr>
        <w:t>, בהעדר הצדדים.</w:t>
      </w:r>
    </w:p>
    <w:p w:rsidR="00C43648" w:rsidRDefault="005400B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91937867"/>
        </w:sdtPr>
        <w:sdtEndPr/>
        <w:sdtContent>
          <w:r w:rsidR="00AB772F">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8300" cy="4191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0BC" w:rsidRDefault="005400BC">
      <w:r>
        <w:separator/>
      </w:r>
    </w:p>
  </w:endnote>
  <w:endnote w:type="continuationSeparator" w:id="0">
    <w:p w:rsidR="005400BC" w:rsidRDefault="0054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23BC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23BC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0BC" w:rsidRDefault="005400BC">
      <w:r>
        <w:separator/>
      </w:r>
    </w:p>
  </w:footnote>
  <w:footnote w:type="continuationSeparator" w:id="0">
    <w:p w:rsidR="005400BC" w:rsidRDefault="0054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3"/>
      <w:gridCol w:w="3494"/>
    </w:tblGrid>
    <w:tr w:rsidR="00694556" w:rsidTr="00B95A71">
      <w:trPr>
        <w:trHeight w:hRule="exact" w:val="993"/>
        <w:jc w:val="center"/>
      </w:trPr>
      <w:tc>
        <w:tcPr>
          <w:tcW w:w="8721" w:type="dxa"/>
          <w:gridSpan w:val="2"/>
        </w:tcPr>
        <w:sdt>
          <w:sdtPr>
            <w:rPr>
              <w:rFonts w:ascii="Tahoma" w:hAnsi="Tahoma"/>
              <w:b/>
              <w:bCs/>
              <w:color w:val="000080"/>
              <w:sz w:val="32"/>
              <w:szCs w:val="32"/>
              <w:rtl/>
            </w:rPr>
            <w:alias w:val="1174"/>
            <w:tag w:val="1174"/>
            <w:id w:val="-1585920285"/>
            <w:text w:multiLine="1"/>
          </w:sdtPr>
          <w:sdtEndPr/>
          <w:sdtContent>
            <w:p w:rsidR="00F076DD"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sdtContent>
        </w:sdt>
        <w:p w:rsidR="00F076DD" w:rsidRDefault="00F076DD" w:rsidP="00F076DD">
          <w:pPr>
            <w:rPr>
              <w:rtl/>
            </w:rPr>
          </w:pPr>
        </w:p>
        <w:p w:rsidR="00694556" w:rsidRPr="00F076DD" w:rsidRDefault="00F076DD" w:rsidP="00F076DD">
          <w:pPr>
            <w:tabs>
              <w:tab w:val="left" w:pos="1317"/>
            </w:tabs>
            <w:rPr>
              <w:rtl/>
            </w:rPr>
          </w:pPr>
          <w:r>
            <w:rPr>
              <w:rtl/>
            </w:rPr>
            <w:tab/>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5400BC" w:rsidP="00F076DD">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רע"א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33552-11-24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F076DD">
                <w:rPr>
                  <w:rFonts w:hint="cs"/>
                  <w:b/>
                  <w:bCs/>
                  <w:noProof w:val="0"/>
                  <w:sz w:val="26"/>
                  <w:szCs w:val="26"/>
                  <w:rtl/>
                </w:rPr>
                <w:t>פלונים</w:t>
              </w:r>
              <w:r w:rsidR="001F5DB6">
                <w:rPr>
                  <w:b/>
                  <w:bCs/>
                  <w:noProof w:val="0"/>
                  <w:sz w:val="26"/>
                  <w:szCs w:val="26"/>
                  <w:rtl/>
                </w:rPr>
                <w:t xml:space="preserve"> נ' קאופמן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206A4"/>
    <w:multiLevelType w:val="hybridMultilevel"/>
    <w:tmpl w:val="17568634"/>
    <w:lvl w:ilvl="0" w:tplc="1E72732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22C6"/>
    <w:rsid w:val="001367BC"/>
    <w:rsid w:val="00144D2A"/>
    <w:rsid w:val="0014653E"/>
    <w:rsid w:val="00180519"/>
    <w:rsid w:val="00191C82"/>
    <w:rsid w:val="001B48A4"/>
    <w:rsid w:val="001C3FD7"/>
    <w:rsid w:val="001C4003"/>
    <w:rsid w:val="001D3441"/>
    <w:rsid w:val="001D4DBF"/>
    <w:rsid w:val="001E75CA"/>
    <w:rsid w:val="001F5DB6"/>
    <w:rsid w:val="00212352"/>
    <w:rsid w:val="002265FF"/>
    <w:rsid w:val="00271B56"/>
    <w:rsid w:val="00291593"/>
    <w:rsid w:val="002B223E"/>
    <w:rsid w:val="002C344E"/>
    <w:rsid w:val="002E75E9"/>
    <w:rsid w:val="00307A6A"/>
    <w:rsid w:val="00307C40"/>
    <w:rsid w:val="00320433"/>
    <w:rsid w:val="003230C7"/>
    <w:rsid w:val="00327E50"/>
    <w:rsid w:val="0033597A"/>
    <w:rsid w:val="00343D89"/>
    <w:rsid w:val="00362612"/>
    <w:rsid w:val="0036743F"/>
    <w:rsid w:val="003715DD"/>
    <w:rsid w:val="003763AB"/>
    <w:rsid w:val="003823E0"/>
    <w:rsid w:val="003A4521"/>
    <w:rsid w:val="003D1C8C"/>
    <w:rsid w:val="0040096C"/>
    <w:rsid w:val="00414F1F"/>
    <w:rsid w:val="0043125D"/>
    <w:rsid w:val="0043502B"/>
    <w:rsid w:val="004443AC"/>
    <w:rsid w:val="00451E28"/>
    <w:rsid w:val="00462C62"/>
    <w:rsid w:val="00465D36"/>
    <w:rsid w:val="004C0C0F"/>
    <w:rsid w:val="004C17EE"/>
    <w:rsid w:val="004C4BDF"/>
    <w:rsid w:val="004D1187"/>
    <w:rsid w:val="004D3AA0"/>
    <w:rsid w:val="004E1987"/>
    <w:rsid w:val="004E2E15"/>
    <w:rsid w:val="004E6E3C"/>
    <w:rsid w:val="00520898"/>
    <w:rsid w:val="00523621"/>
    <w:rsid w:val="00524986"/>
    <w:rsid w:val="005268F6"/>
    <w:rsid w:val="00534284"/>
    <w:rsid w:val="005400BC"/>
    <w:rsid w:val="0054494A"/>
    <w:rsid w:val="00547DB7"/>
    <w:rsid w:val="005D1541"/>
    <w:rsid w:val="005F4F09"/>
    <w:rsid w:val="0061431B"/>
    <w:rsid w:val="00617CEE"/>
    <w:rsid w:val="00622BAA"/>
    <w:rsid w:val="006306CF"/>
    <w:rsid w:val="00644E9A"/>
    <w:rsid w:val="00671BD5"/>
    <w:rsid w:val="006805C1"/>
    <w:rsid w:val="00686C21"/>
    <w:rsid w:val="006931C1"/>
    <w:rsid w:val="00694556"/>
    <w:rsid w:val="006C30C5"/>
    <w:rsid w:val="006D3B31"/>
    <w:rsid w:val="006D4B96"/>
    <w:rsid w:val="006E0D96"/>
    <w:rsid w:val="006E1A53"/>
    <w:rsid w:val="006F56E6"/>
    <w:rsid w:val="00704EDA"/>
    <w:rsid w:val="00721122"/>
    <w:rsid w:val="00744B1C"/>
    <w:rsid w:val="00753019"/>
    <w:rsid w:val="00754801"/>
    <w:rsid w:val="007676E1"/>
    <w:rsid w:val="00795365"/>
    <w:rsid w:val="007A351D"/>
    <w:rsid w:val="007B7765"/>
    <w:rsid w:val="007C5BDD"/>
    <w:rsid w:val="007D45E3"/>
    <w:rsid w:val="007E6115"/>
    <w:rsid w:val="007F4609"/>
    <w:rsid w:val="008176A1"/>
    <w:rsid w:val="00820005"/>
    <w:rsid w:val="00823BCB"/>
    <w:rsid w:val="00844318"/>
    <w:rsid w:val="0085304C"/>
    <w:rsid w:val="00863F5D"/>
    <w:rsid w:val="00870890"/>
    <w:rsid w:val="00873602"/>
    <w:rsid w:val="00875D12"/>
    <w:rsid w:val="008800CD"/>
    <w:rsid w:val="0088479D"/>
    <w:rsid w:val="00896889"/>
    <w:rsid w:val="008C5714"/>
    <w:rsid w:val="008D10B2"/>
    <w:rsid w:val="00903896"/>
    <w:rsid w:val="00906F3D"/>
    <w:rsid w:val="0094424E"/>
    <w:rsid w:val="00955642"/>
    <w:rsid w:val="009622DF"/>
    <w:rsid w:val="00967DFF"/>
    <w:rsid w:val="00994341"/>
    <w:rsid w:val="009B4939"/>
    <w:rsid w:val="009D1A48"/>
    <w:rsid w:val="009E1CE7"/>
    <w:rsid w:val="009E4EA5"/>
    <w:rsid w:val="009F164B"/>
    <w:rsid w:val="009F323C"/>
    <w:rsid w:val="00A17C77"/>
    <w:rsid w:val="00A3392B"/>
    <w:rsid w:val="00A94B64"/>
    <w:rsid w:val="00AA3229"/>
    <w:rsid w:val="00AA7596"/>
    <w:rsid w:val="00AB5E52"/>
    <w:rsid w:val="00AB772F"/>
    <w:rsid w:val="00AC3B02"/>
    <w:rsid w:val="00AC3B7B"/>
    <w:rsid w:val="00AC5209"/>
    <w:rsid w:val="00AD00A6"/>
    <w:rsid w:val="00AE729E"/>
    <w:rsid w:val="00AE7752"/>
    <w:rsid w:val="00AF7FDA"/>
    <w:rsid w:val="00B5356E"/>
    <w:rsid w:val="00B809AD"/>
    <w:rsid w:val="00B80CBD"/>
    <w:rsid w:val="00B86096"/>
    <w:rsid w:val="00B95A71"/>
    <w:rsid w:val="00B964D9"/>
    <w:rsid w:val="00BA0A7C"/>
    <w:rsid w:val="00BA517C"/>
    <w:rsid w:val="00BB15C3"/>
    <w:rsid w:val="00BB3D05"/>
    <w:rsid w:val="00BB73BE"/>
    <w:rsid w:val="00BC2D89"/>
    <w:rsid w:val="00BD4603"/>
    <w:rsid w:val="00BD6531"/>
    <w:rsid w:val="00BE05B2"/>
    <w:rsid w:val="00BF1908"/>
    <w:rsid w:val="00BF7F3B"/>
    <w:rsid w:val="00C01094"/>
    <w:rsid w:val="00C22D93"/>
    <w:rsid w:val="00C31120"/>
    <w:rsid w:val="00C34482"/>
    <w:rsid w:val="00C43648"/>
    <w:rsid w:val="00C45ACD"/>
    <w:rsid w:val="00C50A9F"/>
    <w:rsid w:val="00C53EB8"/>
    <w:rsid w:val="00C642FA"/>
    <w:rsid w:val="00C65565"/>
    <w:rsid w:val="00CC7622"/>
    <w:rsid w:val="00CD608F"/>
    <w:rsid w:val="00D27982"/>
    <w:rsid w:val="00D33B86"/>
    <w:rsid w:val="00D53924"/>
    <w:rsid w:val="00D55D0C"/>
    <w:rsid w:val="00D627CF"/>
    <w:rsid w:val="00D74378"/>
    <w:rsid w:val="00D7697E"/>
    <w:rsid w:val="00D83BAB"/>
    <w:rsid w:val="00D96D8C"/>
    <w:rsid w:val="00DA6649"/>
    <w:rsid w:val="00DB1342"/>
    <w:rsid w:val="00DC1259"/>
    <w:rsid w:val="00DC1BD2"/>
    <w:rsid w:val="00DC2571"/>
    <w:rsid w:val="00DC487C"/>
    <w:rsid w:val="00DE6BF6"/>
    <w:rsid w:val="00E1068A"/>
    <w:rsid w:val="00E25884"/>
    <w:rsid w:val="00E25B55"/>
    <w:rsid w:val="00E31C2B"/>
    <w:rsid w:val="00E37181"/>
    <w:rsid w:val="00E5426A"/>
    <w:rsid w:val="00E54642"/>
    <w:rsid w:val="00E80CBE"/>
    <w:rsid w:val="00E962E3"/>
    <w:rsid w:val="00EB6C79"/>
    <w:rsid w:val="00EC37E9"/>
    <w:rsid w:val="00ED2103"/>
    <w:rsid w:val="00F06995"/>
    <w:rsid w:val="00F076DD"/>
    <w:rsid w:val="00F13623"/>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322C6"/>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62842"/>
    <w:rsid w:val="002D02C4"/>
    <w:rsid w:val="002E734C"/>
    <w:rsid w:val="00334638"/>
    <w:rsid w:val="00345C9D"/>
    <w:rsid w:val="003E1A82"/>
    <w:rsid w:val="0048651F"/>
    <w:rsid w:val="00556D67"/>
    <w:rsid w:val="00645041"/>
    <w:rsid w:val="00793995"/>
    <w:rsid w:val="007C6F98"/>
    <w:rsid w:val="007E254A"/>
    <w:rsid w:val="008B4366"/>
    <w:rsid w:val="009133C7"/>
    <w:rsid w:val="009178E4"/>
    <w:rsid w:val="00961B27"/>
    <w:rsid w:val="00AA7CE3"/>
    <w:rsid w:val="00B91FA3"/>
    <w:rsid w:val="00C71599"/>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800</Words>
  <Characters>4005</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2024-12-25T09:27:00Z</cp:lastPrinted>
  <dcterms:created xsi:type="dcterms:W3CDTF">2025-01-02T14:18:00Z</dcterms:created>
  <dcterms:modified xsi:type="dcterms:W3CDTF">2025-01-02T14:18:00Z</dcterms:modified>
</cp:coreProperties>
</file>